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852-1_4seq1.xml.htm"/>
      <w:bookmarkStart w:id="1" w:name="kstm2620852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Hee Theng Fong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1299 FENGHUA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 World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HTHT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8"/>
        <w:gridCol w:w="904"/>
        <w:gridCol w:w="773"/>
        <w:gridCol w:w="600"/>
        <w:gridCol w:w="351"/>
        <w:gridCol w:w="939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31,640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31,640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31,640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31,640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131,240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restricted share units that vested and settled into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represents the right to receive one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stock units were granted on August 5, 2025 and are scheduled to vest in six installments on a semi-annual basis over a three-year period ending on July 20, 2028. These Restricted share units were previously reported on the Form 3 filed by the Reporting Person on March 13,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Fan You, Attorney-in-Fact for Theng Fong Hee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7552" TargetMode="External"/><Relationship Id="rId5" Type="http://schemas.openxmlformats.org/officeDocument/2006/relationships/hyperlink" Target="http://www.sec.gov/cgi-bin/browse-edgar?action=getcompany&amp;CIK=0001483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658</Words>
  <Characters>3527</Characters>
  <CharactersWithSpaces>4105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